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60" w:rsidRPr="00555CB5" w:rsidRDefault="00987960" w:rsidP="00987960">
      <w:pPr>
        <w:spacing w:before="80" w:after="80" w:line="360" w:lineRule="auto"/>
        <w:jc w:val="center"/>
        <w:rPr>
          <w:rFonts w:ascii="Arial Nova" w:eastAsia="Arial Nova" w:hAnsi="Arial Nova" w:cs="Arial Nova"/>
          <w:b/>
          <w:bCs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ANEXO III</w:t>
      </w:r>
    </w:p>
    <w:p w:rsidR="00987960" w:rsidRPr="00555CB5" w:rsidRDefault="00987960" w:rsidP="00987960">
      <w:pPr>
        <w:spacing w:before="80" w:after="80" w:line="360" w:lineRule="auto"/>
        <w:jc w:val="center"/>
        <w:rPr>
          <w:rFonts w:ascii="Arial Nova" w:eastAsia="Arial Nova" w:hAnsi="Arial Nova" w:cs="Arial Nova"/>
          <w:b/>
          <w:bCs/>
          <w:color w:val="000000" w:themeColor="text1"/>
        </w:rPr>
      </w:pPr>
      <w:r w:rsidRPr="05BC8EB5">
        <w:rPr>
          <w:rFonts w:ascii="Arial Nova" w:eastAsia="Arial Nova" w:hAnsi="Arial Nova" w:cs="Arial Nova"/>
          <w:b/>
          <w:bCs/>
          <w:color w:val="000000" w:themeColor="text1"/>
        </w:rPr>
        <w:t>TERMO ADITIVO DE CONTRATO DE TRABALHO PARA</w:t>
      </w:r>
    </w:p>
    <w:p w:rsidR="00987960" w:rsidRPr="00555CB5" w:rsidRDefault="00987960" w:rsidP="00987960">
      <w:pPr>
        <w:spacing w:before="80" w:after="80" w:line="360" w:lineRule="auto"/>
        <w:jc w:val="center"/>
        <w:rPr>
          <w:rFonts w:ascii="Arial Nova" w:eastAsia="Arial Nova" w:hAnsi="Arial Nova" w:cs="Arial Nova"/>
          <w:b/>
          <w:bCs/>
          <w:color w:val="000000" w:themeColor="text1"/>
        </w:rPr>
      </w:pPr>
      <w:r w:rsidRPr="05BC8EB5">
        <w:rPr>
          <w:rFonts w:ascii="Arial Nova" w:eastAsia="Arial Nova" w:hAnsi="Arial Nova" w:cs="Arial Nova"/>
          <w:b/>
          <w:bCs/>
          <w:color w:val="000000" w:themeColor="text1"/>
        </w:rPr>
        <w:t>REGIME ESPECIAL DE TELETRABALHO</w:t>
      </w:r>
    </w:p>
    <w:p w:rsidR="00987960" w:rsidRPr="00555CB5" w:rsidRDefault="00987960" w:rsidP="00987960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987960" w:rsidRDefault="00987960" w:rsidP="00987960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  <w:sz w:val="18"/>
          <w:szCs w:val="18"/>
        </w:rPr>
      </w:pP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b/>
          <w:bCs/>
          <w:smallCaps/>
          <w:color w:val="000000" w:themeColor="text1"/>
        </w:rPr>
        <w:t>(SECRETARIA DE ESTADO/ÓRGÃO VINCULADO)</w:t>
      </w: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, CNPJ nº ........................, neste ato representada por seu/sua Secretário(a), Sr(a). (nome do dirigente), e, do outro lado, o(a) empregado(a) público(a), (</w:t>
      </w:r>
      <w:r w:rsidRPr="53189579"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  <w:t>nome</w:t>
      </w: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), (</w:t>
      </w:r>
      <w:r w:rsidRPr="53189579"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  <w:t>nome da função</w:t>
      </w: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), número funcional _________, portador(a) do CPF nº ___________, residente e domiciliado(a) na (</w:t>
      </w:r>
      <w:r w:rsidRPr="53189579"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  <w:t>endereço completo</w:t>
      </w: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), com fundamento nas disposições constantes no Capítulo II-A da Consolidação das Leis do Trabalho (CLT), com a redação dada pela Lei nº 13.467/2017, pela Medida Provisória nº 1.108, de 2022, e no Decreto 56.536 de 1º de junho de 2022, bem como na Instrução Normativa deste órgão, </w:t>
      </w:r>
      <w:r w:rsidRPr="5318957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>RESOLVEM </w:t>
      </w: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firmar o presente </w:t>
      </w:r>
      <w:r w:rsidRPr="5318957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>TERMO DE ADITIVO DE CONTRATO DE TRABALHO</w:t>
      </w: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, que se regerá mediante as seguintes cláusulas e condições:</w:t>
      </w:r>
    </w:p>
    <w:p w:rsidR="00987960" w:rsidRDefault="00987960" w:rsidP="00987960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  <w:sz w:val="18"/>
          <w:szCs w:val="18"/>
        </w:rPr>
      </w:pPr>
    </w:p>
    <w:p w:rsidR="00987960" w:rsidRPr="000A5F20" w:rsidRDefault="00987960" w:rsidP="00987960">
      <w:pPr>
        <w:spacing w:before="80"/>
        <w:jc w:val="both"/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</w:pPr>
      <w:r w:rsidRPr="00FB44B1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  <w:shd w:val="clear" w:color="auto" w:fill="E6E6E6"/>
        </w:rPr>
        <w:t>CLÁUSULA PRIMEIRA</w:t>
      </w:r>
    </w:p>
    <w:p w:rsidR="00987960" w:rsidRDefault="00987960" w:rsidP="00987960">
      <w:pPr>
        <w:spacing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>DO OBJETO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1.1 O presente instrumento tem como objeto autorizar o(a) empregado(a) público(a) a realizar suas atividades laborais sob regime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, nos termos legais e condições a seguir estabelecidas.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1.2. Considera-se regime especial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a forma de execução das atividades laborais em que o servidor público desenvolve suas atribuições fora das dependências da unidade, mediante o uso de equipamentos e tecnologias próprios que permitam a plena execução do trabalho de maneira remota.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Independente da localidade onde será a execução das atividades sob o regime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, será preservada as disposições atinentes ao local de prestação de serviço previstas no contrato de trabalho.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1.3. Fica estabelecido o regime especial de adesão ao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na modalidade (</w:t>
      </w:r>
      <w:r w:rsidRPr="53189579"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  <w:t>integral ou parcial</w:t>
      </w: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).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1.4. O(A) empregado(a) público(a), na modalidade parcial, realizará suas atividades laborais presencialmente nos (</w:t>
      </w:r>
      <w:r w:rsidRPr="53189579"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  <w:t>descrever dias ou forma específica - turno, semanas, ...</w:t>
      </w: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).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1.5. A jornada de trabalho, nos dias em regime especial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, dar-se-á no horário compreendido entre ___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h____min</w:t>
      </w:r>
      <w:proofErr w:type="spellEnd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e ___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h____min</w:t>
      </w:r>
      <w:proofErr w:type="spellEnd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, observados os limites da jornada diária contratada e do intervalo para repouso e alimentação entre os turnos de trabalho.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1.6. O regime especial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terá caráter precário e será pelo prazo de .... (</w:t>
      </w:r>
      <w:r w:rsidRPr="53189579"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  <w:t>3 a 12 meses</w:t>
      </w: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), renováveis, desde que haja mútuo interesse e verificado o cumprimento do plano de trabalho e das respectivas metas.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1.7. O prazo estipulado no item 1.6, poderá ser suspenso,mediante ciência do empregado,por razões técnicas ou de conveniência e oportunidade, em decisão fundamentada,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1.8. As atividades a serem realizadas pelo(a) empregado(a) público(a) estão descritas no respectivo plano de trabalho individualizado pactuado com a chefia imediata.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1.9. O descumprimento das metas individuais, bem como dos deveres previstos neste termo aditivo poderá, a qualquer tempo, implicar a revogação da autorização de trabalho remoto, precedida de procedimento simplificado, em que assegurem o contraditório e a ampla defesa.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1.10. A participação no regime especial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não importa em alteração da condição funcional do(a) empregado(a) público(a) e sua adesão ou revogação não gera qualquer direito de trânsito ou de pagamento de diárias ou de indenização pela aquisição de qualquer bem ou equipamento necessários para a execução das atividades remotas. 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1.11. Não será concedida ajuda de custo ao participante do regime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quando não houver mudança de domicílio em caráter permanente, no interesse da Administração. 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1.12. O(A) empregado(a) público(a) em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somente terá direito ao recebimento antecipado de pagamento do auxílio-transporte nos dias em que houver deslocamentos de sua residência para o local de sua unidade organizacional para exercício de suas atividades.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1.13. Poderá ser realizada a alteração do regime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para o presencial por determinação do empregador, garantido prazo de transição mínimo de quinze dias úteis, com correspondente registro em aditivo contratual.</w:t>
      </w:r>
    </w:p>
    <w:p w:rsidR="00987960" w:rsidRDefault="00987960" w:rsidP="00987960">
      <w:pPr>
        <w:pStyle w:val="PargrafodaLista"/>
        <w:numPr>
          <w:ilvl w:val="1"/>
          <w:numId w:val="2"/>
        </w:numPr>
        <w:spacing w:before="80" w:after="80"/>
        <w:ind w:left="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1.14. O(A) empregado(a) público(a) se sujeita às disposições relativas ao regime de </w:t>
      </w:r>
      <w:proofErr w:type="spellStart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das normativas estaduais, no que for compatível, e da Consolidação da Leis Trabalhistas. </w:t>
      </w:r>
    </w:p>
    <w:p w:rsidR="00987960" w:rsidRDefault="00987960" w:rsidP="00987960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  <w:sz w:val="18"/>
          <w:szCs w:val="18"/>
        </w:rPr>
      </w:pPr>
    </w:p>
    <w:p w:rsidR="00987960" w:rsidRPr="000A5F20" w:rsidRDefault="00987960" w:rsidP="00987960">
      <w:pPr>
        <w:spacing w:before="80" w:after="80" w:line="360" w:lineRule="auto"/>
        <w:jc w:val="both"/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</w:pPr>
      <w:r w:rsidRPr="00FB44B1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  <w:shd w:val="clear" w:color="auto" w:fill="E6E6E6"/>
        </w:rPr>
        <w:t>CLÁUSULA SEGUNDA</w:t>
      </w:r>
    </w:p>
    <w:p w:rsidR="00987960" w:rsidRDefault="00987960" w:rsidP="00987960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>DIREITOS E DEVERES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4BD480D3">
        <w:rPr>
          <w:rFonts w:ascii="Arial Nova" w:eastAsia="Arial Nova" w:hAnsi="Arial Nova" w:cs="Arial Nova"/>
          <w:color w:val="000000" w:themeColor="text1"/>
          <w:sz w:val="20"/>
          <w:szCs w:val="20"/>
        </w:rPr>
        <w:t>2.1. A</w:t>
      </w: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</w:t>
      </w:r>
      <w:r w:rsidRPr="4BD480D3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Secretaria de Estado, como empregador, e o(a) empregado(a) público(a) ficam obrigados a atender as disposições previstas na Consolidação das Leis do Trabalho (CLT), na Medida Provisória nº 1.108, de 2022, no Decreto estadual nº 56.536/22, bem como na Instrução Normativa deste órgão, que disciplinam o regime especial de </w:t>
      </w:r>
      <w:proofErr w:type="spellStart"/>
      <w:r w:rsidRPr="4BD480D3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4BD480D3">
        <w:rPr>
          <w:rFonts w:ascii="Arial Nova" w:eastAsia="Arial Nova" w:hAnsi="Arial Nova" w:cs="Arial Nova"/>
          <w:color w:val="000000" w:themeColor="text1"/>
          <w:sz w:val="20"/>
          <w:szCs w:val="20"/>
        </w:rPr>
        <w:t>, devendo o(a) empregado(a) público(a) ter especial atenção às suas obrigações e deveres.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2.2. O(A) empregado(a) público(a) declara ter ciência e possuir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infraestrutura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de recursos suficientes para a realização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, indicada pela unidade de tecnologia da informação deste órgão, restando sob sua responsabilidade prover integralmente, às suas custas, as despesas pelo fornecimento e manutenção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infraestrutura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tecnológica e de comunicação necessárias à realização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, bem como pelo mobiliário em condições ergonômicas adequadas.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2.3. O(A) empregado(a) público(a) deverá firmar termo de responsabilidade, comprometendo-se a observar os parâmetros da ergonomia, seja quanto às condições físicas ou cognitivas de trabalho, conforme orientações da medicina do trabalho do órgão competente, a fim de evitar doenças e acidentes de trabalho.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2.4. A responsabilidade pela prevenção e tratamento recairá unicamente sobre o(a) empregado(a) público(a) pela ocorrência de possíveis lesões decorrentes da inadequação da estrutura ergonômica do seu ambiente de trabalho.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2.5. O(A) empregado(a) público(a) autoriza expressamente o uso de imagens e voz pelo Estado, especialmente quando se tratar de produção de atividades a ser difundido em plataformas digitais abertas em que seja utilizado dados pessoais (imagem, voz, nome) ou em material profissional produzido com sua participação.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  <w:highlight w:val="yellow"/>
        </w:rPr>
      </w:pP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2.6. O (a) empregado (a) público (a) declara ter ciência e autoriza</w:t>
      </w: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</w:t>
      </w:r>
      <w:r w:rsidRPr="53189579">
        <w:rPr>
          <w:rFonts w:ascii="Arial Nova" w:eastAsia="Arial Nova" w:hAnsi="Arial Nova" w:cs="Arial Nova"/>
          <w:color w:val="000000" w:themeColor="text1"/>
          <w:sz w:val="20"/>
          <w:szCs w:val="20"/>
        </w:rPr>
        <w:t>que na necessidade de contatá-lo (a) em razão das suas atividades profissionais,será utilizado sistema profissional de disponibilidade instantânea e, em excepcional necessidade, o número de telefone indicado no Plano de Trabalho, ficando ajustado que o contato ocorrerá durante seu horário de expediente.</w:t>
      </w:r>
      <w:r w:rsidRPr="15D00CA1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2.7. O(a) empregado(a) público(a) em regime especial de </w:t>
      </w:r>
      <w:proofErr w:type="spellStart"/>
      <w:r w:rsidRPr="15D00CA1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15D00CA1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fica à disposição da Administração durante o período da jornada de trabalho contratada, devendo ser lançada a sigla correspondente no seu controle de </w:t>
      </w:r>
      <w:proofErr w:type="spellStart"/>
      <w:r w:rsidRPr="15D00CA1">
        <w:rPr>
          <w:rFonts w:ascii="Arial Nova" w:eastAsia="Arial Nova" w:hAnsi="Arial Nova" w:cs="Arial Nova"/>
          <w:color w:val="000000" w:themeColor="text1"/>
          <w:sz w:val="20"/>
          <w:szCs w:val="20"/>
        </w:rPr>
        <w:t>frequência</w:t>
      </w:r>
      <w:proofErr w:type="spellEnd"/>
      <w:r w:rsidRPr="15D00CA1">
        <w:rPr>
          <w:rFonts w:ascii="Arial Nova" w:eastAsia="Arial Nova" w:hAnsi="Arial Nova" w:cs="Arial Nova"/>
          <w:color w:val="000000" w:themeColor="text1"/>
          <w:sz w:val="20"/>
          <w:szCs w:val="20"/>
        </w:rPr>
        <w:t>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2.8. A realização de jornada extraordinária exige a autorização expressa e prévia da chefia imediata, podendo ser compensadas no respectivo mês (art. 59, §6º. CLT) ou no prazo fixado em norma coletiva (art. 59, §2º, CLT).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Parágrafo único. O cumprimento, pelo servidor, de metas superiores às previamente estabelecidas não configura a realização de serviços extraordinários.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2.9. O tempo de uso de equipamentos tecnológicos e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infraestrutura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necessária, e de softwares, de ferramentas digitais ou de aplicações de internet utilizados para 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, fora da jornada de trabalho normal do(a) empregado(a) público(a) não constitui tempo à disposição, regime de prontidão ou de sobreaviso. 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2.10.  A administração pública não será responsável pelas despesas resultantes do retorno ao trabalho presencial, na hipótese do(a) empregado(a) público(a) optar pela realização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ou trabalho remoto fora da localidade prevista no contrato. 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2.11. O(a) empregado(a) público(a) compromete-se a seguir as instruções fornecidas pelo empregador. 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2.12. Fica facultado ao(à) empregado(a) público(a) em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, sempre que conveniente ou necessário, executar suas atividades nas dependências da sua unidade organizacional de exercício, mediante prévio ajuste com a chefia imediata. 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2.13. O comparecimento presencial às dependências da unidade organizacional para a realização de atividades específicas não descaracteriza as disposições deste Termo de Aditivo Contratual, enquanto empregado(a) público(a) em regime especial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2.14. Compete ao(à) empregado(a) público(a) cumprir as atividades e metas previamente estabelecidas no Plano de Trabalho, assim como demais deveres legais, em especial:</w:t>
      </w:r>
    </w:p>
    <w:p w:rsidR="00987960" w:rsidRDefault="00987960" w:rsidP="00987960">
      <w:pPr>
        <w:pStyle w:val="PargrafodaLista"/>
        <w:numPr>
          <w:ilvl w:val="0"/>
          <w:numId w:val="1"/>
        </w:num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Manter os dados cadastrais e de contato permanentemente atualizados e ativos;</w:t>
      </w:r>
    </w:p>
    <w:p w:rsidR="00987960" w:rsidRDefault="00987960" w:rsidP="00987960">
      <w:pPr>
        <w:pStyle w:val="PargrafodaLista"/>
        <w:numPr>
          <w:ilvl w:val="0"/>
          <w:numId w:val="1"/>
        </w:num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Estar disponível e atento às comunicações que lhe forem formalmente encaminhadas, conforme estabelecido no Plano de Trabalho;</w:t>
      </w:r>
    </w:p>
    <w:p w:rsidR="00987960" w:rsidRDefault="00987960" w:rsidP="00987960">
      <w:pPr>
        <w:pStyle w:val="PargrafodaLista"/>
        <w:numPr>
          <w:ilvl w:val="0"/>
          <w:numId w:val="1"/>
        </w:num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Exercer suas atividades independentemente de comando específico, sempre atento às comunicações que lhe forem formalmente encaminhadas e dentro do horário acordado com a chefia, devendo, para tanto, consultar diariamente a sua caixa de correio eletrônico ou outro canal de comunicação institucional previamente definido no plano de trabalho;</w:t>
      </w:r>
    </w:p>
    <w:p w:rsidR="00987960" w:rsidRDefault="00987960" w:rsidP="00987960">
      <w:pPr>
        <w:pStyle w:val="PargrafodaLista"/>
        <w:numPr>
          <w:ilvl w:val="0"/>
          <w:numId w:val="1"/>
        </w:num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Comparecer à sua unidade de trabalho sempre que convocado pela chefia imediata, em prazo razoável previamente estabelecido;</w:t>
      </w:r>
    </w:p>
    <w:p w:rsidR="00987960" w:rsidRDefault="00987960" w:rsidP="00987960">
      <w:pPr>
        <w:pStyle w:val="PargrafodaLista"/>
        <w:numPr>
          <w:ilvl w:val="0"/>
          <w:numId w:val="1"/>
        </w:num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Preservar no âmbito de sua responsabilidade, a segurança e sigilo dos assuntos da repartição, das informações contidas em processos e documentos sob sua custódia e dos dados acessados de forma remota, mediante observância das normas internas de segurança da informação e da comunicação, bem como manter atualizados os sistemas de segurança e institucionais instalados nos equipamentos de trabalho;</w:t>
      </w:r>
    </w:p>
    <w:p w:rsidR="00987960" w:rsidRDefault="00987960" w:rsidP="00987960">
      <w:pPr>
        <w:pStyle w:val="PargrafodaLista"/>
        <w:numPr>
          <w:ilvl w:val="0"/>
          <w:numId w:val="1"/>
        </w:num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Retirar processos e demais documentos físicos, se necessário à realização das atividades, nas dependências da unidade, observando os procedimentos relacionados à segurança da informação e à guarda documental, quando houver, e mediante assinatura de termo de recebimento e responsabilidade do servidor;</w:t>
      </w:r>
    </w:p>
    <w:p w:rsidR="00987960" w:rsidRDefault="00987960" w:rsidP="00987960">
      <w:pPr>
        <w:pStyle w:val="PargrafodaLista"/>
        <w:numPr>
          <w:ilvl w:val="0"/>
          <w:numId w:val="1"/>
        </w:num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Executar pessoalmente as suas tarefas do Plano de Trabalho, sendo vedada a utilização de terceiros, servidores ou não;</w:t>
      </w:r>
    </w:p>
    <w:p w:rsidR="00987960" w:rsidRDefault="00987960" w:rsidP="00987960">
      <w:pPr>
        <w:pStyle w:val="PargrafodaLista"/>
        <w:numPr>
          <w:ilvl w:val="0"/>
          <w:numId w:val="1"/>
        </w:num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Participar das atividades de orientação, grupos de trabalho, capacitação e acompanhamento ao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sempre que determinado pela Administração;</w:t>
      </w:r>
    </w:p>
    <w:p w:rsidR="00987960" w:rsidRDefault="00987960" w:rsidP="00987960">
      <w:pPr>
        <w:pStyle w:val="PargrafodaLista"/>
        <w:numPr>
          <w:ilvl w:val="0"/>
          <w:numId w:val="1"/>
        </w:num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Manter-se em condições de retorno ao regime de trabalho presencial, em caso de necessidade da Administração, mediante prévia comunicação observado o prazo mínimo de 15 dias úteis.  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sz w:val="28"/>
          <w:szCs w:val="28"/>
        </w:rPr>
      </w:pPr>
    </w:p>
    <w:p w:rsidR="00987960" w:rsidRDefault="00987960" w:rsidP="00987960">
      <w:pPr>
        <w:spacing w:before="80" w:after="80" w:line="360" w:lineRule="auto"/>
        <w:rPr>
          <w:rFonts w:ascii="Arial Nova" w:eastAsia="Arial Nova" w:hAnsi="Arial Nova" w:cs="Arial Nova"/>
          <w:sz w:val="32"/>
          <w:szCs w:val="32"/>
        </w:rPr>
      </w:pPr>
      <w:r w:rsidRPr="33BF13DD">
        <w:rPr>
          <w:rFonts w:ascii="Arial Nova" w:eastAsia="Arial Nova" w:hAnsi="Arial Nova" w:cs="Arial Nova"/>
          <w:b/>
          <w:bCs/>
          <w:sz w:val="16"/>
          <w:szCs w:val="16"/>
        </w:rPr>
        <w:t>CLÁUSULA TERCEIRA</w:t>
      </w:r>
      <w:r>
        <w:br/>
      </w:r>
      <w:r w:rsidRPr="33BF13DD">
        <w:rPr>
          <w:rFonts w:ascii="Arial Nova" w:eastAsia="Arial Nova" w:hAnsi="Arial Nova" w:cs="Arial Nova"/>
          <w:b/>
          <w:bCs/>
          <w:sz w:val="20"/>
          <w:szCs w:val="20"/>
        </w:rPr>
        <w:t>DAS METAS DE DESEMPENHO E DO PRAZO DE CUMPRIMENTO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3.1. As metas serão estabelecidas de forma individualizadas no Plano de Trabalho.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§ 1º O alcance das metas de desempenho e o cumprimento dos prazos fixados, nos termos previstos, equivalerão ao cumprimento da jornada de trabalho para fins de efetividade.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§ 2º O prazo determinado em Plano de Trabalho não será suspenso por razão técnica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infraestrutura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do(a) empregado(a) público(a) que inviabilize a consecução das atividades remotas, hipótese em que poderá dirigir-se às dependências do órgão para a execução de suas atividades, mediante a ajuste prévio com a chefia imediata. 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§ 3º O Plano de Trabalho, sempre que necessário e a qualquer tempo, poderá ser atualizado e revisado pela chefia imediata com a devida comunicação aos servidores.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§ 4º O atraso ou não cumprimento sem justificativa do Plano de Trabalho poderá acarretar ausência de registro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frequência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durante o período proporcional ao percentual de atraso e desligamento do regime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, salvo por motivo devidamente justificado, cabendo à chefia imediata estabelecer regra para compensação.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3.2. O(A) empregado(a) público(a) deverá comunicar à chefia imediata a ocorrência de afastamentos, licenças ou outros impedimentos para eventual adequação das metas de desempenho e prazos ou possível redistribuição do trabalho; 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3.3. Cabe ao(à) empregado(a) público(a) manter a chefia imediata informada, por meio de mensagem eletrônica, de forma periódica e sempre que demandado, sobre a evolução do trabalho, apontando eventual dificuldade, dúvida ou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intercorrência</w:t>
      </w:r>
      <w:proofErr w:type="spellEnd"/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que possa atrasar ou prejudicar a execução das atividades;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3.4. A efetividade mensal dos(as) empregado(a) público(a) que desenvolvem trabalhos nos termos deste termo aditivo será mensurada conforme a eficiência das entregas propostas no Plano de Trabalho, de acordo com os critérios objetivos das metas previamente estipuladas.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Parágrafo único. Considera-se em efetivo serviço o(a) empregado(a) público(a) que, conforme informação recebida da chefia imediata, cumprir o seu plano de trabalho, dentro dos prazos e metas estabelecidas.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</w:p>
    <w:p w:rsidR="00987960" w:rsidRDefault="00987960" w:rsidP="00987960">
      <w:pPr>
        <w:spacing w:before="80" w:line="360" w:lineRule="auto"/>
        <w:jc w:val="both"/>
        <w:rPr>
          <w:rFonts w:ascii="Arial Nova" w:eastAsia="Arial Nova" w:hAnsi="Arial Nova" w:cs="Arial Nova"/>
          <w:color w:val="808080" w:themeColor="background1" w:themeShade="80"/>
          <w:sz w:val="14"/>
          <w:szCs w:val="14"/>
        </w:rPr>
      </w:pPr>
      <w:r w:rsidRPr="33BF13DD">
        <w:rPr>
          <w:rFonts w:ascii="Arial Nova" w:eastAsia="Arial Nova" w:hAnsi="Arial Nova" w:cs="Arial Nova"/>
          <w:b/>
          <w:bCs/>
          <w:color w:val="808080" w:themeColor="background1" w:themeShade="80"/>
          <w:sz w:val="14"/>
          <w:szCs w:val="14"/>
        </w:rPr>
        <w:t>CLÁUSULA QUARTA</w:t>
      </w:r>
    </w:p>
    <w:p w:rsidR="00987960" w:rsidRDefault="00987960" w:rsidP="00987960">
      <w:pPr>
        <w:spacing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DA EXTINÇÃO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4.1. O presente Termo de Adesão poderá ser extinto, a qualquer tempo, mediante: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I – Solicitação do(a) empregado(a) público(a), mediante requerimento próprio;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6F50CE9A">
        <w:rPr>
          <w:rFonts w:ascii="Arial Nova" w:eastAsia="Arial Nova" w:hAnsi="Arial Nova" w:cs="Arial Nova"/>
          <w:color w:val="000000" w:themeColor="text1"/>
          <w:sz w:val="20"/>
          <w:szCs w:val="20"/>
        </w:rPr>
        <w:t>II – Por descumprimento dos deveres contidos neste instrumento, na Instrução Normativa expedida pelo respectivo órgão de lotação e exercício e Decreto estadual nº 56.536/22; e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III - por interesse desta Secretaria ou vinculada, de forma justificada.</w:t>
      </w: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</w:p>
    <w:p w:rsidR="00987960" w:rsidRDefault="00987960" w:rsidP="00987960">
      <w:pPr>
        <w:spacing w:before="80" w:after="8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33BF13DD">
        <w:rPr>
          <w:rFonts w:ascii="Arial Nova" w:eastAsia="Arial Nova" w:hAnsi="Arial Nova" w:cs="Arial Nova"/>
          <w:color w:val="000000" w:themeColor="text1"/>
          <w:sz w:val="20"/>
          <w:szCs w:val="20"/>
        </w:rPr>
        <w:t>(Cidade), ______ de _______________ de ______.</w:t>
      </w:r>
    </w:p>
    <w:p w:rsidR="00987960" w:rsidRDefault="00987960" w:rsidP="00987960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4245"/>
        <w:gridCol w:w="4245"/>
      </w:tblGrid>
      <w:tr w:rsidR="00987960" w:rsidTr="00900FB5">
        <w:tc>
          <w:tcPr>
            <w:tcW w:w="4245" w:type="dxa"/>
          </w:tcPr>
          <w:p w:rsidR="00987960" w:rsidRDefault="00987960" w:rsidP="00900FB5">
            <w:pPr>
              <w:tabs>
                <w:tab w:val="center" w:pos="4252"/>
                <w:tab w:val="right" w:pos="8504"/>
              </w:tabs>
              <w:spacing w:before="80" w:after="80" w:line="360" w:lineRule="auto"/>
              <w:jc w:val="center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33BF13DD">
              <w:rPr>
                <w:rFonts w:ascii="Arial Nova" w:eastAsia="Arial Nova" w:hAnsi="Arial Nova" w:cs="Arial Nova"/>
                <w:sz w:val="18"/>
                <w:szCs w:val="18"/>
              </w:rPr>
              <w:t xml:space="preserve">Secretário(a) de Estado / </w:t>
            </w:r>
            <w:r>
              <w:br/>
            </w:r>
            <w:r w:rsidRPr="33BF13DD">
              <w:rPr>
                <w:rFonts w:ascii="Arial Nova" w:eastAsia="Arial Nova" w:hAnsi="Arial Nova" w:cs="Arial Nova"/>
                <w:sz w:val="18"/>
                <w:szCs w:val="18"/>
              </w:rPr>
              <w:t>Titular da entidade vinculada</w:t>
            </w:r>
          </w:p>
        </w:tc>
        <w:tc>
          <w:tcPr>
            <w:tcW w:w="4245" w:type="dxa"/>
          </w:tcPr>
          <w:p w:rsidR="00987960" w:rsidRDefault="00987960" w:rsidP="00900FB5">
            <w:pPr>
              <w:tabs>
                <w:tab w:val="center" w:pos="4252"/>
                <w:tab w:val="right" w:pos="8504"/>
              </w:tabs>
              <w:spacing w:before="80" w:after="80" w:line="360" w:lineRule="auto"/>
              <w:jc w:val="center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33BF13DD">
              <w:rPr>
                <w:rFonts w:ascii="Arial Nova" w:eastAsia="Arial Nova" w:hAnsi="Arial Nova" w:cs="Arial Nova"/>
                <w:sz w:val="18"/>
                <w:szCs w:val="18"/>
              </w:rPr>
              <w:t>Empregado(a) público(a)</w:t>
            </w:r>
          </w:p>
        </w:tc>
      </w:tr>
    </w:tbl>
    <w:p w:rsidR="00D91E1B" w:rsidRDefault="00D91E1B"/>
    <w:sectPr w:rsidR="00D91E1B" w:rsidSect="00D91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BA74"/>
    <w:multiLevelType w:val="hybridMultilevel"/>
    <w:tmpl w:val="E1D6693E"/>
    <w:lvl w:ilvl="0" w:tplc="EFDED806">
      <w:start w:val="1"/>
      <w:numFmt w:val="decimal"/>
      <w:lvlText w:val="%1."/>
      <w:lvlJc w:val="left"/>
      <w:pPr>
        <w:ind w:left="720" w:hanging="360"/>
      </w:pPr>
    </w:lvl>
    <w:lvl w:ilvl="1" w:tplc="D6EEDF9C">
      <w:numFmt w:val="none"/>
      <w:lvlText w:val=""/>
      <w:lvlJc w:val="left"/>
      <w:pPr>
        <w:tabs>
          <w:tab w:val="num" w:pos="360"/>
        </w:tabs>
      </w:pPr>
    </w:lvl>
    <w:lvl w:ilvl="2" w:tplc="1AF217C4">
      <w:numFmt w:val="none"/>
      <w:lvlText w:val=""/>
      <w:lvlJc w:val="left"/>
      <w:pPr>
        <w:tabs>
          <w:tab w:val="num" w:pos="360"/>
        </w:tabs>
      </w:pPr>
    </w:lvl>
    <w:lvl w:ilvl="3" w:tplc="3EBC23D4">
      <w:numFmt w:val="none"/>
      <w:lvlText w:val=""/>
      <w:lvlJc w:val="left"/>
      <w:pPr>
        <w:tabs>
          <w:tab w:val="num" w:pos="360"/>
        </w:tabs>
      </w:pPr>
    </w:lvl>
    <w:lvl w:ilvl="4" w:tplc="091CC12E">
      <w:numFmt w:val="none"/>
      <w:lvlText w:val=""/>
      <w:lvlJc w:val="left"/>
      <w:pPr>
        <w:tabs>
          <w:tab w:val="num" w:pos="360"/>
        </w:tabs>
      </w:pPr>
    </w:lvl>
    <w:lvl w:ilvl="5" w:tplc="8AD462DE">
      <w:numFmt w:val="none"/>
      <w:lvlText w:val=""/>
      <w:lvlJc w:val="left"/>
      <w:pPr>
        <w:tabs>
          <w:tab w:val="num" w:pos="360"/>
        </w:tabs>
      </w:pPr>
    </w:lvl>
    <w:lvl w:ilvl="6" w:tplc="7412357A">
      <w:numFmt w:val="none"/>
      <w:lvlText w:val=""/>
      <w:lvlJc w:val="left"/>
      <w:pPr>
        <w:tabs>
          <w:tab w:val="num" w:pos="360"/>
        </w:tabs>
      </w:pPr>
    </w:lvl>
    <w:lvl w:ilvl="7" w:tplc="1B829490">
      <w:numFmt w:val="none"/>
      <w:lvlText w:val=""/>
      <w:lvlJc w:val="left"/>
      <w:pPr>
        <w:tabs>
          <w:tab w:val="num" w:pos="360"/>
        </w:tabs>
      </w:pPr>
    </w:lvl>
    <w:lvl w:ilvl="8" w:tplc="D946C9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D8EC9E"/>
    <w:multiLevelType w:val="hybridMultilevel"/>
    <w:tmpl w:val="AABEB906"/>
    <w:lvl w:ilvl="0" w:tplc="B23C320C">
      <w:start w:val="1"/>
      <w:numFmt w:val="lowerLetter"/>
      <w:lvlText w:val="%1)"/>
      <w:lvlJc w:val="left"/>
      <w:pPr>
        <w:ind w:left="720" w:hanging="360"/>
      </w:pPr>
    </w:lvl>
    <w:lvl w:ilvl="1" w:tplc="6574B380">
      <w:start w:val="1"/>
      <w:numFmt w:val="lowerLetter"/>
      <w:lvlText w:val="%2."/>
      <w:lvlJc w:val="left"/>
      <w:pPr>
        <w:ind w:left="1440" w:hanging="360"/>
      </w:pPr>
    </w:lvl>
    <w:lvl w:ilvl="2" w:tplc="DBBA0A90">
      <w:start w:val="1"/>
      <w:numFmt w:val="lowerRoman"/>
      <w:lvlText w:val="%3."/>
      <w:lvlJc w:val="right"/>
      <w:pPr>
        <w:ind w:left="2160" w:hanging="180"/>
      </w:pPr>
    </w:lvl>
    <w:lvl w:ilvl="3" w:tplc="B622A7D0">
      <w:start w:val="1"/>
      <w:numFmt w:val="decimal"/>
      <w:lvlText w:val="%4."/>
      <w:lvlJc w:val="left"/>
      <w:pPr>
        <w:ind w:left="2880" w:hanging="360"/>
      </w:pPr>
    </w:lvl>
    <w:lvl w:ilvl="4" w:tplc="8278C9B0">
      <w:start w:val="1"/>
      <w:numFmt w:val="lowerLetter"/>
      <w:lvlText w:val="%5."/>
      <w:lvlJc w:val="left"/>
      <w:pPr>
        <w:ind w:left="3600" w:hanging="360"/>
      </w:pPr>
    </w:lvl>
    <w:lvl w:ilvl="5" w:tplc="1E9C95F8">
      <w:start w:val="1"/>
      <w:numFmt w:val="lowerRoman"/>
      <w:lvlText w:val="%6."/>
      <w:lvlJc w:val="right"/>
      <w:pPr>
        <w:ind w:left="4320" w:hanging="180"/>
      </w:pPr>
    </w:lvl>
    <w:lvl w:ilvl="6" w:tplc="BF406A6C">
      <w:start w:val="1"/>
      <w:numFmt w:val="decimal"/>
      <w:lvlText w:val="%7."/>
      <w:lvlJc w:val="left"/>
      <w:pPr>
        <w:ind w:left="5040" w:hanging="360"/>
      </w:pPr>
    </w:lvl>
    <w:lvl w:ilvl="7" w:tplc="1F02F8A0">
      <w:start w:val="1"/>
      <w:numFmt w:val="lowerLetter"/>
      <w:lvlText w:val="%8."/>
      <w:lvlJc w:val="left"/>
      <w:pPr>
        <w:ind w:left="5760" w:hanging="360"/>
      </w:pPr>
    </w:lvl>
    <w:lvl w:ilvl="8" w:tplc="D09466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/>
  <w:defaultTabStop w:val="708"/>
  <w:hyphenationZone w:val="425"/>
  <w:characterSpacingControl w:val="doNotCompress"/>
  <w:compat/>
  <w:rsids>
    <w:rsidRoot w:val="00987960"/>
    <w:rsid w:val="00987960"/>
    <w:rsid w:val="00D9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6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1993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cintia-reis</dc:creator>
  <cp:lastModifiedBy>cintia-reis</cp:lastModifiedBy>
  <cp:revision>1</cp:revision>
  <dcterms:created xsi:type="dcterms:W3CDTF">2022-06-30T17:52:00Z</dcterms:created>
  <dcterms:modified xsi:type="dcterms:W3CDTF">2022-06-30T17:52:00Z</dcterms:modified>
</cp:coreProperties>
</file>